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Отчет УрГЭУ о проделанной работе по повышению доступности и качества</w:t>
      </w:r>
    </w:p>
    <w:p>
      <w:pPr>
        <w:jc w:val="left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высшего и среднего профессионального образования для инвалидов и лиц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ограниченными возможностями здоровья </w:t>
      </w:r>
    </w:p>
    <w:p>
      <w:pPr>
        <w:jc w:val="left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 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>
      <w:pPr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spacing w:line="295" w:lineRule="auto"/>
        <w:ind w:right="-1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 из основных задач Университета при создании доступной среды </w:t>
      </w:r>
      <w:r>
        <w:rPr>
          <w:rFonts w:hint="default"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многоцелевая деятельность, направленная на защиту и поддержку отдельных обучающихся, предоставление беспрепятственного доступа обучающимся с ОВЗ и инвалидностью к любым объектам, информационным ресурсам университета.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 текущую дату в Университете по программам высшего и среднего профессионального образования обучаются 49 чел. с инвалидностью (табл. 1).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 сравнению с 2021 г. число студентов с инвалидностью, обучающихся с 1 сентября 2022 г., увеличилось на 3 чел., а студентами 1-го курса всех форм обучения в общей сложности стали 9 чел.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Численность выпускников-инвалидов в 2022 г. составила 10 чел.</w:t>
      </w:r>
    </w:p>
    <w:p>
      <w:pPr>
        <w:spacing w:before="240" w:after="24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1 - Динамика обучающихся из числа инвалидов и лиц с ограниченными возможностями здоровья, чел.</w:t>
      </w:r>
    </w:p>
    <w:tbl>
      <w:tblPr>
        <w:tblStyle w:val="3"/>
        <w:tblW w:w="9573" w:type="dxa"/>
        <w:tblInd w:w="3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6948"/>
        <w:gridCol w:w="1349"/>
        <w:gridCol w:w="12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vMerge w:val="restart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 подразделения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студентов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vMerge w:val="continue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8"/>
              <w:ind w:hanging="12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48"/>
              <w:ind w:hanging="126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экономики и финансов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менеджмента, предпринимательства и инжиниринга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Институт цифровых технологий управления и информационной </w:t>
            </w:r>
          </w:p>
          <w:p>
            <w:pPr>
              <w:pStyle w:val="48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государственного, муниципального управления и права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непрерывного и дистанционного образования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магистратуры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keepNext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694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8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48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</w:tbl>
    <w:p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2022-23 учебном году на первый курс по всем формам обучения поступили 11 человек с инвалидностью. Из них 7 человек по программам ВО и 4 человека по программам СПО. 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обучающихся в разрезе нозологических групп представлена в таблице 2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240" w:line="29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Численность обучающихся в 2022 году в разрезе нозологических групп</w:t>
      </w:r>
    </w:p>
    <w:tbl>
      <w:tblPr>
        <w:tblStyle w:val="10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3396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Нозологическая группа</w:t>
            </w:r>
          </w:p>
        </w:tc>
        <w:tc>
          <w:tcPr>
            <w:tcW w:w="6113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Нарушения слуха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Нарушения зрения 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арушения опорно-двигательного аппарата (мобильные)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арушения опорно-двигательного аппарата (на кресле-коляске)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Нарушения речи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Соматические заболевания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5" w:type="dxa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Психические нарушения</w:t>
            </w:r>
          </w:p>
        </w:tc>
        <w:tc>
          <w:tcPr>
            <w:tcW w:w="3396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717" w:type="dxa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>
      <w:pPr>
        <w:spacing w:before="24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инвалидов и лиц с ОВЗ в Университете осуществляется в соответствии с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нормативными документами, регламентирующими данное направление деятельности. За отчетный период были актуализированы локальные нормативные акты университета, описывающие порядки поступления, обучения и практической подготовки, и проведения государственной итоговой аттестации данной категории обучающихся. 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деятельность по обеспечению доступности образования для инвалидов и лиц с ОВЗ осуществляется на основе утвержденного плана мероприятий (дорожная карта) при взаимодействии с ресурсным учебно-методическим центром по обучению инвалидов и лиц с ОВЗ ФГБОУ ВО «Челябинский государственный университет». 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line="295" w:lineRule="auto"/>
        <w:ind w:firstLine="709"/>
        <w:jc w:val="both"/>
        <w:rPr>
          <w:rFonts w:ascii="Times New Roman" w:hAnsi="Times New Roman"/>
          <w:color w:val="333A4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Инфраструктурные условия доступности объектов вуза для инвалидов обеспечиваются приспособленностью учебных аудиторий, библиотеки, объектов спорта и др. помещений для использования обучающимися с инвалидностью. В каждом образовательном структурном подразделении университета есть ответственные работники </w:t>
      </w:r>
      <w:r>
        <w:rPr>
          <w:rStyle w:val="4"/>
          <w:rFonts w:ascii="Times New Roman" w:hAnsi="Times New Roman"/>
          <w:b w:val="0"/>
          <w:color w:val="333A44"/>
          <w:sz w:val="28"/>
          <w:szCs w:val="28"/>
          <w:shd w:val="clear" w:color="auto" w:fill="FFFFFF"/>
        </w:rPr>
        <w:t>по сопровождению обучающихся с инвалидностью и ограниченными возможностями здоровья и в Управлении по социальной работе организована работа волонтеров</w:t>
      </w:r>
      <w:r>
        <w:rPr>
          <w:rFonts w:ascii="Times New Roman" w:hAnsi="Times New Roman"/>
          <w:color w:val="333A44"/>
          <w:sz w:val="28"/>
          <w:szCs w:val="28"/>
          <w:shd w:val="clear" w:color="auto" w:fill="FFFFFF"/>
        </w:rPr>
        <w:t>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всех имеющихся специальных условиях размещена на официальном сайте Вуза в разделе «Сведения об образовательной организации» в подразделе «Доступная среда».  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Для обеспечения условий доступности образования в вузе функционирует электронно-информационная образовательная среда, адаптированная для обучающихся с инвалидностью. Для обучения инвалидов и лиц с ОВЗ в вузе имеются различные технические средства как мобильные, так и стационарные и специальное программное обеспечение — это программы экранного доступа, увеличения, перевода текста в шрифт Брайля и для обучающихся с нарушением слуха программы перевода устной речи в текст. А также предоставляется возможность обучающимся использовать учебные материалы в альтернативных форматах (текст, аудиофайлы, субтитры, тифлокомментарии). Предоставляется возможность использования электронно-библиотечных ресурсов.</w:t>
      </w:r>
    </w:p>
    <w:p>
      <w:pPr>
        <w:spacing w:before="240" w:after="240" w:line="295" w:lineRule="auto"/>
        <w:ind w:firstLine="709"/>
        <w:rPr>
          <w:rFonts w:ascii="Times New Roman" w:hAnsi="Times New Roman" w:eastAsia="Times New Roman"/>
          <w:i/>
          <w:color w:val="000000"/>
          <w:sz w:val="28"/>
          <w:szCs w:val="28"/>
        </w:rPr>
      </w:pPr>
      <w:r>
        <w:rPr>
          <w:rFonts w:ascii="Times New Roman" w:hAnsi="Times New Roman" w:eastAsia="Times New Roman"/>
          <w:i/>
          <w:color w:val="000000"/>
          <w:sz w:val="28"/>
          <w:szCs w:val="28"/>
        </w:rPr>
        <w:t>Профориентационная работа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Профориентационная работа, проводимая Управлением по приему и довузовской подготовке сосредоточена в образовательных организациях общего и среднего профессионального образования. За отчетный период в целях профоиентационной работы обучающихся с инвалидностью и лиц с ОВЗ были проведены следующие мероприятия:</w:t>
      </w:r>
    </w:p>
    <w:p>
      <w:pPr>
        <w:pStyle w:val="51"/>
        <w:spacing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«Образовательный марафон»: консультирование по правилам приема обучающихся с инвалидностью и лиц с ОВЗ в школах г. Екатеринбурга;</w:t>
      </w:r>
    </w:p>
    <w:p>
      <w:pPr>
        <w:pStyle w:val="51"/>
        <w:spacing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Профессиональные пробы по направлениям подготовки университета в рамках инклюзивного подхода для обучающихся с инвалидностью и лиц с ОВЗ;</w:t>
      </w:r>
    </w:p>
    <w:p>
      <w:pPr>
        <w:pStyle w:val="51"/>
        <w:spacing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«День открытых дверей: правила приема – 2022»: консультирование и сопровождение поступающих с инвалидностью и лиц с ОВЗ об особенностях приема в вуз в 2022 г.</w:t>
      </w:r>
    </w:p>
    <w:p>
      <w:pPr>
        <w:pStyle w:val="51"/>
        <w:spacing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«Олимпиады и конкурсы»: участие старшеклассников с инвалидностью и лиц с ОВЗ;</w:t>
      </w:r>
    </w:p>
    <w:p>
      <w:pPr>
        <w:pStyle w:val="51"/>
        <w:spacing w:line="29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Проведении выездных открытых лекций в рамках проекта Губернатора Свердловской области «Финансовая и юридическая грамотность» с участием ведущих преподавателей университета для обучающихся с инвалидностью и лиц с ОВЗ.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Сотрудники управления при необходимости проводят индивидуальные консультации с инвалидами и лицами с ОВЗ во время подачи документов.</w:t>
      </w:r>
      <w:r>
        <w:rPr>
          <w:rFonts w:ascii="Times New Roman" w:hAnsi="Times New Roman" w:eastAsia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отчетном периоде число абитуриентов из числа лиц с инвалидностью и ОВЗ, прошедших индивидуальное профконсультирование, </w:t>
      </w:r>
      <w:r>
        <w:rPr>
          <w:rFonts w:ascii="Times New Roman" w:hAnsi="Times New Roman" w:eastAsia="Times New Roman"/>
          <w:sz w:val="28"/>
          <w:szCs w:val="28"/>
        </w:rPr>
        <w:t xml:space="preserve">составило 32 чел. 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При проведении профориентационных мероприятий лица с инвалидностью и ОВЗ заполняют специально разработанную анкету, анализ которой позволяет заранее определить направления работы с поступающими и технологии дальнейшего обучения.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</w:rPr>
        <w:t xml:space="preserve"> </w:t>
      </w:r>
    </w:p>
    <w:p>
      <w:pPr>
        <w:spacing w:before="240" w:after="240" w:line="295" w:lineRule="auto"/>
        <w:ind w:firstLine="709"/>
        <w:rPr>
          <w:rFonts w:ascii="Times New Roman" w:hAnsi="Times New Roman" w:eastAsia="Times New Roman"/>
          <w:bCs/>
          <w:i/>
          <w:iCs/>
          <w:sz w:val="28"/>
          <w:szCs w:val="28"/>
        </w:rPr>
      </w:pPr>
      <w:r>
        <w:rPr>
          <w:rFonts w:ascii="Times New Roman" w:hAnsi="Times New Roman" w:eastAsia="Times New Roman"/>
          <w:bCs/>
          <w:i/>
          <w:iCs/>
          <w:sz w:val="28"/>
          <w:szCs w:val="28"/>
        </w:rPr>
        <w:t>Социальная работа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 2017 года УрГЭУ выступает площадкой и принимает участие в Чемпионате Свердловской области по профессиональному мастерству среди инвалидов и лиц с ограниченными возможностями здоровья «Абилимпикс». 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«Цель «Абилимпикс» – профессиональная ориентация и мотивация людей с инвалидностью к получению профессионального образования, содействие их трудоустройству и социокультурной инклюзии в обществе. Подготовительный этап – это тоже соревнование, в рамках которого участники выполняют задания по различным компетенциям в категориях «школьники», «студенты», «специалисты».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УрГЭУ выступил площадкой по компетенции «Администрирование баз данных», а также студенты колледжа УрГЭУ приняли участие в компетенции «Предпринимательство» на площадке Уральского федерального университета им. Б.Н. Ельцина. 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Чемпионата помимо выполнения конкурсных заданий для участников были проведены мероприятия культурной (экскурсии по университету, виртуальной лаборатории), деловой программы (мастер-классы по трудоустройству от партнеров-работодателей). 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«Администрирование баз данных» участие приняли 8 человек из числа студентов УрГЭУ со следующими нарушениями здоровья: соматическое заболевание, слабовидящий, слабослышащий, нарушение опорно-двигательного аппарата (мобильные). Главным экспертом выступил доцент кафедры бизнес-информатики, к.э.н. Буценко Елена Владимировна.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«Предпринимательство» от колледжа УрГЭУ приняли участие 2 человека.</w:t>
      </w:r>
    </w:p>
    <w:p>
      <w:pPr>
        <w:spacing w:before="240" w:after="240" w:line="295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Трудоустройство и карьера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инклюзивного высшего образования поддерживается и со стороны деятельности Центра карьеры УрГЭУ (далее — ЦК). ЦК при поддержке других подразделений в своей работе руководствуется ежегодно формируемым Планом мероприятий по содействию трудоустройству и постдипломному сопровождению студентов и выпускников ФГБОУ ВО «УрГЭУ» с ограниченными возможностями здоровья, включающие в себя:</w:t>
      </w:r>
    </w:p>
    <w:p>
      <w:pPr>
        <w:spacing w:line="295" w:lineRule="auto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Проведение мероприятий, способствующих трудоустройству выпускников, предоставлению студентам объективной информации о состоянии рынка труда и происходящих на нем изменениях: 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 вакансий («Конвейер вакансий», «Профи Ёлка»);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профконсультации «Час карьеры в УрГЭУ» и др.</w:t>
      </w:r>
    </w:p>
    <w:p>
      <w:pPr>
        <w:spacing w:line="295" w:lineRule="auto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и сопровождение конкурсов: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заявок на конкурсы и чемпионаты на онлайн-платформах («Россия — страна возможностей»);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регионального этапа конкурса профессионального мастерства «Абилимпикс» и др.</w:t>
      </w:r>
    </w:p>
    <w:p>
      <w:pPr>
        <w:spacing w:line="295" w:lineRule="auto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Предложение по регистрации и сопровождению студента на платформах «Факультетус» и «Россия – страна возможностей» (онлайн) для получения возможности прямого общения с работодателем, отслеживания подходящих запланированных работодателями мероприятий, а также прохождения тестового инструментария по развитию круга компетенций, востребованных рынком труда.</w:t>
      </w:r>
    </w:p>
    <w:p>
      <w:pPr>
        <w:spacing w:line="295" w:lineRule="auto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Постоянное обновление информации на сайте ЦК по нормативному регулированию и актуальной базе вакансий от работодателей-партнеров вуза для студентов с ограниченными возможностями здоровья и инвалидов с формированием раздела «Работа со студентами и выпускниками с ОВЗ и инвалидами» (доступен по ссылке: http://profi-rost.usue.ru/trudoustroystvo/trudoustrojstvo-vypusknikov-s-ovz-i-invalidov).</w:t>
      </w:r>
    </w:p>
    <w:p>
      <w:pPr>
        <w:spacing w:line="295" w:lineRule="auto"/>
        <w:ind w:firstLine="708"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Индивидуальные консультации для студентов по вопросам:</w:t>
      </w:r>
    </w:p>
    <w:p>
      <w:pPr>
        <w:numPr>
          <w:ilvl w:val="0"/>
          <w:numId w:val="0"/>
        </w:numPr>
        <w:spacing w:line="295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проведения всех видов практик, стажировок, а также трудоустройства;</w:t>
      </w:r>
    </w:p>
    <w:p>
      <w:pPr>
        <w:numPr>
          <w:ilvl w:val="0"/>
          <w:numId w:val="0"/>
        </w:numPr>
        <w:spacing w:line="295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консультаций по заполнению портфолио студента;</w:t>
      </w:r>
    </w:p>
    <w:p>
      <w:pPr>
        <w:numPr>
          <w:ilvl w:val="0"/>
          <w:numId w:val="0"/>
        </w:numPr>
        <w:spacing w:line="295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сопровождение и консультирование обучающихся с инвалидностью и ОВЗ;</w:t>
      </w:r>
    </w:p>
    <w:p>
      <w:pPr>
        <w:numPr>
          <w:ilvl w:val="0"/>
          <w:numId w:val="0"/>
        </w:numPr>
        <w:spacing w:line="295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консультирование обучающихся с ОВЗ и инвалидностью и др.</w:t>
      </w:r>
    </w:p>
    <w:p>
      <w:pPr>
        <w:spacing w:line="295" w:lineRule="auto"/>
        <w:ind w:firstLine="708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Взаимодействие с центром занятости, работными порталами по трудоустройству студентов и выпускников с ОВЗ и инвалидов: 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портала «Работа в России» на ресурсах ЦК;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сотрудников Департамента по труду и занятости населения Свердловской области и Екатеринбургского центра занятости в мероприятиях, организуемых ЦК;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встреча в рамках регионального этапа конкурса профмастерства «Абилимпикс» и др.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Взаимодействие с Ресурсным учебно-методическим центром по обучению инвалидов и лиц с ограниченными возможностями здоровья Челябинского государственного университета (далее — РУМЦ ЧелГУ), включающее координацию планов и активностей, а также участие сотрудников </w:t>
      </w:r>
      <w:r>
        <w:rPr>
          <w:rFonts w:ascii="Times New Roman" w:hAnsi="Times New Roman"/>
          <w:sz w:val="28"/>
          <w:szCs w:val="28"/>
          <w:lang w:val="ru-RU"/>
        </w:rPr>
        <w:t>ЦК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представителей других подразделений УрГЭУ в онлайн-мероприятиях РУМЦ (в т.ч. в роли докладчика):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совещаниях вузов-партнёров;онлайн-опросах и распространении анкет;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конференциях, вебинарах и круглых столах «Трудоустройство людей с инвалидностью: инструменты и способы поиска работы, взаимодействие с работодателями, юридические вопросы заключения трудовых договоров и создания условий труда», «Сопровождение молодых инвалидов при получении ими профессионального образования и содействие в последующем трудоустройстве», «Лучшие практики обеспечения доступности и качества инклюзивного высшего образования для лиц с инвалидностью и ограниченными возможностями здоровья» и др.;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прохождении курсов повышения квалификации и дополнительных программ.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ЦК принимает участие в подготовке отчётов по тематике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Взаимодействие с предприятиями и организациями по трудоустройству выпускников с ограниченными возможностями здоровья и инвалидов УрГЭУ, помимо публикации предложений по трудоустройству и ответного направления резюме в соответствии с кадровыми потребностями, включает: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«Карьерные консультации МФЦ» — проект содействия сотрудников центров «Мои документы» эффективному карьерному развитию обучающихся и трудоустройству выпускников с особенностями здоровья, где можно узнать и о преимуществах найма работников с особенностями здоровья, которые не знают не только сами кандидаты, но и работодатели;</w:t>
      </w:r>
    </w:p>
    <w:p>
      <w:pPr>
        <w:numPr>
          <w:ilvl w:val="0"/>
          <w:numId w:val="0"/>
        </w:numPr>
        <w:spacing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«Наставники МТС» — проект, в рамках которого студенты с ОВЗ в период обучения в УрГЭУ могут выбрать себе наставника из ПАО «Мобильные ТелеСистемы», помогающего в подборе практического материала для написания курсовых работ и ВКР, способного давать советы и оказывать помощь в построении карьеры и жизненных ситуациях.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ЦК продолжает своевременно осуществлять мониторинги по трудоустройству выпускников с ОВЗ и инвалидностью по запросу различных ведомств и организаций. Поисками работы занято минимальное количество выпускников. Студенты, закончившие колледж, предпочитают продолжать обучение на следующем образовательном уровне.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 УрГЭУ была продолжена практика по приёму от предприятий и организаций Свердловской области вакансий, подходящих конкретно лицам с ОВЗ и инвалидам, соответствующие пункты предусмотрены формой подачи вакансий.</w:t>
      </w:r>
    </w:p>
    <w:p>
      <w:pPr>
        <w:spacing w:line="295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Спортивная деятельность</w:t>
      </w:r>
    </w:p>
    <w:p>
      <w:pPr>
        <w:spacing w:after="24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спортивные успехи были достигнуты членами сборной команды УрГЭУ по армрестлингу, а, именно, студентом колледжа Колдашов Диёрбек (гр. 21-03 БД). </w:t>
      </w:r>
    </w:p>
    <w:p>
      <w:pPr>
        <w:spacing w:before="240" w:after="24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спортивные достижения обучающихся  УрГЭУ приведены в табл. 3.</w:t>
      </w:r>
    </w:p>
    <w:p>
      <w:pPr>
        <w:spacing w:before="240" w:after="240" w:line="29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Спортивные достижения обучающихся с инвалидностью</w:t>
      </w:r>
    </w:p>
    <w:tbl>
      <w:tblPr>
        <w:tblStyle w:val="3"/>
        <w:tblW w:w="1006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autofit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794"/>
        <w:gridCol w:w="22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49" w:hRule="atLeast"/>
        </w:trPr>
        <w:tc>
          <w:tcPr>
            <w:tcW w:w="7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турнира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Достигнутый результат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России по двоеборью (февраль 2022)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II место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«Танкограда»  (май 2022)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II место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Тюмени (август 2022)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II место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открытый турнир по армрестлингу «Памяти Асланбека Еналдиева» (июль 2022)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II место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Свердловской области (сентябрь 2022)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II место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c>
          <w:tcPr>
            <w:tcW w:w="7794" w:type="dxa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Уральского федерального округа (октябрь 2022)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I место</w:t>
            </w:r>
          </w:p>
        </w:tc>
      </w:tr>
    </w:tbl>
    <w:p>
      <w:pPr>
        <w:spacing w:before="240" w:after="240" w:line="295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Взаимодействие с РУМЦ</w:t>
      </w:r>
    </w:p>
    <w:p>
      <w:pPr>
        <w:spacing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сотрудничества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РУМЦ ФГБОУ ВО «Челябинский государственный университет» в соответствие с утвержденной дорожной картой в 2022 году сотрудниками университета пройдены повышения квалификации по 4 программам:</w:t>
      </w:r>
    </w:p>
    <w:p>
      <w:pPr>
        <w:pStyle w:val="51"/>
        <w:numPr>
          <w:ilvl w:val="0"/>
          <w:numId w:val="0"/>
        </w:numPr>
        <w:spacing w:line="295" w:lineRule="auto"/>
        <w:ind w:left="-76"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«Взаимодействие куратора практики с обучающимся инвалидом» – 1 чел.;</w:t>
      </w:r>
    </w:p>
    <w:p>
      <w:pPr>
        <w:pStyle w:val="51"/>
        <w:numPr>
          <w:ilvl w:val="0"/>
          <w:numId w:val="0"/>
        </w:numPr>
        <w:spacing w:line="295" w:lineRule="auto"/>
        <w:ind w:left="-76"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«Специальные технические средства обучения и ассистивные технологии в инклюзивном высшем образовании» - 2 чел.;</w:t>
      </w:r>
    </w:p>
    <w:p>
      <w:pPr>
        <w:pStyle w:val="51"/>
        <w:numPr>
          <w:ilvl w:val="0"/>
          <w:numId w:val="0"/>
        </w:numPr>
        <w:spacing w:line="295" w:lineRule="auto"/>
        <w:ind w:left="-76"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 работы преподавателя вуза с обучающимися с инвалидностью и ограниченными возможностями здоровья в условиях инклюзии» - 20 чел;</w:t>
      </w:r>
    </w:p>
    <w:p>
      <w:pPr>
        <w:pStyle w:val="51"/>
        <w:numPr>
          <w:ilvl w:val="0"/>
          <w:numId w:val="0"/>
        </w:numPr>
        <w:spacing w:line="295" w:lineRule="auto"/>
        <w:ind w:left="-76"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специальных условий инклюзивного высшего образования: доступность и качество образовательного процесса лиц с инвалидностью и ограниченными возможностями здоровья» - 11 чел.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Кроме того, более 20 руководителей и сотрудников университета приняли участие в обучающих вебинарах, проводимых Минобрнауки и РУМЦ ЧелГУ.</w:t>
      </w:r>
    </w:p>
    <w:p>
      <w:pPr>
        <w:pStyle w:val="51"/>
        <w:numPr>
          <w:ilvl w:val="0"/>
          <w:numId w:val="0"/>
        </w:numPr>
        <w:spacing w:line="295" w:lineRule="auto"/>
        <w:ind w:left="66" w:leftChars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«Ассоциация инклюзивных вузов» (20.09.2022) (Минобрнауки);</w:t>
      </w:r>
    </w:p>
    <w:p>
      <w:pPr>
        <w:pStyle w:val="51"/>
        <w:numPr>
          <w:ilvl w:val="0"/>
          <w:numId w:val="0"/>
        </w:numPr>
        <w:spacing w:line="295" w:lineRule="auto"/>
        <w:ind w:left="66" w:leftChars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«Документационное обеспечение содействия трудоустройства и постдипломного сопровождения выпускников с инвалидностью» (20.12.2022) (Минобрнауки);</w:t>
      </w:r>
    </w:p>
    <w:p>
      <w:pPr>
        <w:pStyle w:val="51"/>
        <w:numPr>
          <w:ilvl w:val="0"/>
          <w:numId w:val="0"/>
        </w:numPr>
        <w:spacing w:line="295" w:lineRule="auto"/>
        <w:ind w:left="66" w:leftChars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«Управленческие практики и организационные решения по содействию трудоустройству и постдипломному сопровождению выпускников с инвалидностью» (25.10.2022) РУМЦ ЧелГУ;</w:t>
      </w:r>
    </w:p>
    <w:p>
      <w:pPr>
        <w:pStyle w:val="51"/>
        <w:numPr>
          <w:ilvl w:val="0"/>
          <w:numId w:val="0"/>
        </w:numPr>
        <w:spacing w:line="295" w:lineRule="auto"/>
        <w:ind w:left="66" w:leftChars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«Экосистема трудоустройства лиц с инвалидностью: взаимодействие вуза с органами власти, работодателями, бизнес-сообществом, НКО» (09.11.2022); РУМЦ ЧелГУ;</w:t>
      </w:r>
    </w:p>
    <w:p>
      <w:pPr>
        <w:pStyle w:val="51"/>
        <w:numPr>
          <w:ilvl w:val="0"/>
          <w:numId w:val="0"/>
        </w:numPr>
        <w:spacing w:line="295" w:lineRule="auto"/>
        <w:ind w:left="66" w:leftChars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«Ассистивные и цифровые сервисы поддержки трудоустройства инвалидов» (16.11.2022). РУМЦ ЧелГУ;</w:t>
      </w:r>
    </w:p>
    <w:p>
      <w:pPr>
        <w:spacing w:line="295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Так же в 2022 году студентка</w:t>
      </w:r>
      <w:r>
        <w:rPr>
          <w:rFonts w:ascii="Times New Roman" w:hAnsi="Times New Roman"/>
          <w:sz w:val="28"/>
          <w:szCs w:val="28"/>
        </w:rPr>
        <w:t xml:space="preserve"> группа  ЭК-19-5 Лачихина Анастасия Александровна прошла обучение на базе РУМЦ ЧелГУ по программе «Продвижение личного бренда в социальных сетях» (октябрь 2022)</w:t>
      </w:r>
    </w:p>
    <w:p>
      <w:pPr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>
      <w:pPr>
        <w:ind w:firstLine="708" w:firstLineChars="0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С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ru-RU"/>
        </w:rPr>
        <w:t>14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по 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ru-RU"/>
        </w:rPr>
        <w:t>25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ноября  проведен мониторинг деятельности УрГЭУ по вопросам приема, обучения и трудоустройства лиц с инвалидностью и ограниченными возможностями здоровья за 202</w:t>
      </w: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год, который своевременно представлен в Департамент координации деятельности образовательных организаций Минобрнауки России.</w:t>
      </w:r>
    </w:p>
    <w:p>
      <w:pPr>
        <w:pStyle w:val="51"/>
        <w:numPr>
          <w:ilvl w:val="0"/>
          <w:numId w:val="0"/>
        </w:numPr>
        <w:spacing w:line="295" w:lineRule="auto"/>
        <w:ind w:left="709" w:leftChars="0"/>
        <w:jc w:val="both"/>
        <w:rPr>
          <w:rFonts w:ascii="Times New Roman" w:hAnsi="Times New Roman" w:eastAsia="Times New Roman"/>
          <w:sz w:val="28"/>
          <w:szCs w:val="28"/>
        </w:rPr>
      </w:pPr>
    </w:p>
    <w:sectPr>
      <w:headerReference r:id="rId3" w:type="default"/>
      <w:pgSz w:w="11906" w:h="16838"/>
      <w:pgMar w:top="400" w:right="720" w:bottom="720" w:left="1134" w:header="6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ahoma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ahoma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ahoma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Sans Devanagari">
    <w:panose1 w:val="020B0502040504020204"/>
    <w:charset w:val="00"/>
    <w:family w:val="auto"/>
    <w:pitch w:val="default"/>
    <w:sig w:usb0="00008000" w:usb1="00000000" w:usb2="00000000" w:usb3="00100000" w:csb0="00000001" w:csb1="00000000"/>
  </w:font>
  <w:font w:name="Symbol">
    <w:altName w:val="XO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;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5"/>
    <w:rsid w:val="00051CD1"/>
    <w:rsid w:val="000B2C6E"/>
    <w:rsid w:val="000D6455"/>
    <w:rsid w:val="000F3BD2"/>
    <w:rsid w:val="001D1CEE"/>
    <w:rsid w:val="002628F3"/>
    <w:rsid w:val="002872D5"/>
    <w:rsid w:val="00302639"/>
    <w:rsid w:val="00342577"/>
    <w:rsid w:val="00360EB2"/>
    <w:rsid w:val="00386BFD"/>
    <w:rsid w:val="00445E05"/>
    <w:rsid w:val="00450BE9"/>
    <w:rsid w:val="004676A5"/>
    <w:rsid w:val="004C27A9"/>
    <w:rsid w:val="004F2DAF"/>
    <w:rsid w:val="005416F0"/>
    <w:rsid w:val="005E4E4B"/>
    <w:rsid w:val="00631FC8"/>
    <w:rsid w:val="006467C6"/>
    <w:rsid w:val="006529E4"/>
    <w:rsid w:val="00657728"/>
    <w:rsid w:val="00687710"/>
    <w:rsid w:val="00695CAF"/>
    <w:rsid w:val="006A3F11"/>
    <w:rsid w:val="00704E4A"/>
    <w:rsid w:val="00735FE6"/>
    <w:rsid w:val="00765958"/>
    <w:rsid w:val="008A5B25"/>
    <w:rsid w:val="008E0F5D"/>
    <w:rsid w:val="008F0965"/>
    <w:rsid w:val="00955C63"/>
    <w:rsid w:val="009774D2"/>
    <w:rsid w:val="00980A22"/>
    <w:rsid w:val="009E31F4"/>
    <w:rsid w:val="009E468F"/>
    <w:rsid w:val="009F3CDD"/>
    <w:rsid w:val="00A50719"/>
    <w:rsid w:val="00A72BBE"/>
    <w:rsid w:val="00AD1254"/>
    <w:rsid w:val="00B450AE"/>
    <w:rsid w:val="00BB18E9"/>
    <w:rsid w:val="00CA25E9"/>
    <w:rsid w:val="00CC1DBF"/>
    <w:rsid w:val="00D74228"/>
    <w:rsid w:val="00E42833"/>
    <w:rsid w:val="00E6666A"/>
    <w:rsid w:val="00E9089A"/>
    <w:rsid w:val="00E93DEF"/>
    <w:rsid w:val="00EC3055"/>
    <w:rsid w:val="00EC7234"/>
    <w:rsid w:val="00F36076"/>
    <w:rsid w:val="00F47BE4"/>
    <w:rsid w:val="00F9436A"/>
    <w:rsid w:val="00FC2795"/>
    <w:rsid w:val="19B9C53B"/>
    <w:rsid w:val="3CEF2E5D"/>
    <w:rsid w:val="53E7100A"/>
    <w:rsid w:val="6E7FA033"/>
    <w:rsid w:val="7BF26F3B"/>
    <w:rsid w:val="BFFEC59D"/>
    <w:rsid w:val="DFBE5BA7"/>
    <w:rsid w:val="EB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Tahoma" w:cs="Free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7">
    <w:name w:val="header"/>
    <w:basedOn w:val="1"/>
    <w:qFormat/>
    <w:uiPriority w:val="0"/>
    <w:pPr>
      <w:suppressLineNumbers/>
      <w:tabs>
        <w:tab w:val="center" w:pos="5233"/>
        <w:tab w:val="right" w:pos="10466"/>
      </w:tabs>
    </w:p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List"/>
    <w:basedOn w:val="8"/>
    <w:qFormat/>
    <w:uiPriority w:val="0"/>
    <w:rPr>
      <w:rFonts w:cs="Noto Sans Devanagari"/>
    </w:rPr>
  </w:style>
  <w:style w:type="table" w:styleId="10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WW8Num1z0"/>
    <w:qFormat/>
    <w:uiPriority w:val="0"/>
    <w:rPr>
      <w:rFonts w:ascii="Symbol" w:hAnsi="Symbol" w:cs="Symbol"/>
      <w:sz w:val="28"/>
      <w:szCs w:val="28"/>
    </w:rPr>
  </w:style>
  <w:style w:type="character" w:customStyle="1" w:styleId="12">
    <w:name w:val="WW8Num2z0"/>
    <w:qFormat/>
    <w:uiPriority w:val="0"/>
    <w:rPr>
      <w:rFonts w:ascii="Symbol" w:hAnsi="Symbol" w:cs="Symbol"/>
    </w:rPr>
  </w:style>
  <w:style w:type="character" w:customStyle="1" w:styleId="13">
    <w:name w:val="WW8Num3z0"/>
    <w:qFormat/>
    <w:uiPriority w:val="0"/>
    <w:rPr>
      <w:rFonts w:ascii="Symbol" w:hAnsi="Symbol" w:cs="Symbol"/>
    </w:rPr>
  </w:style>
  <w:style w:type="character" w:customStyle="1" w:styleId="14">
    <w:name w:val="WW8Num4z0"/>
    <w:qFormat/>
    <w:uiPriority w:val="0"/>
    <w:rPr>
      <w:rFonts w:ascii="Symbol" w:hAnsi="Symbol" w:cs="Symbol"/>
      <w:sz w:val="28"/>
      <w:szCs w:val="28"/>
    </w:rPr>
  </w:style>
  <w:style w:type="character" w:customStyle="1" w:styleId="15">
    <w:name w:val="WW8Num5z0"/>
    <w:qFormat/>
    <w:uiPriority w:val="0"/>
    <w:rPr>
      <w:rFonts w:ascii="Symbol" w:hAnsi="Symbol" w:cs="Symbol"/>
      <w:sz w:val="28"/>
      <w:szCs w:val="28"/>
    </w:rPr>
  </w:style>
  <w:style w:type="character" w:customStyle="1" w:styleId="16">
    <w:name w:val="WW8Num6z0"/>
    <w:qFormat/>
    <w:uiPriority w:val="0"/>
  </w:style>
  <w:style w:type="character" w:customStyle="1" w:styleId="17">
    <w:name w:val="WW8Num7z0"/>
    <w:qFormat/>
    <w:uiPriority w:val="0"/>
  </w:style>
  <w:style w:type="character" w:customStyle="1" w:styleId="18">
    <w:name w:val="WW8Num7z1"/>
    <w:qFormat/>
    <w:uiPriority w:val="0"/>
  </w:style>
  <w:style w:type="character" w:customStyle="1" w:styleId="19">
    <w:name w:val="WW8Num7z2"/>
    <w:qFormat/>
    <w:uiPriority w:val="0"/>
  </w:style>
  <w:style w:type="character" w:customStyle="1" w:styleId="20">
    <w:name w:val="WW8Num7z3"/>
    <w:qFormat/>
    <w:uiPriority w:val="0"/>
  </w:style>
  <w:style w:type="character" w:customStyle="1" w:styleId="21">
    <w:name w:val="WW8Num7z4"/>
    <w:qFormat/>
    <w:uiPriority w:val="0"/>
  </w:style>
  <w:style w:type="character" w:customStyle="1" w:styleId="22">
    <w:name w:val="WW8Num7z5"/>
    <w:qFormat/>
    <w:uiPriority w:val="0"/>
  </w:style>
  <w:style w:type="character" w:customStyle="1" w:styleId="23">
    <w:name w:val="WW8Num7z6"/>
    <w:qFormat/>
    <w:uiPriority w:val="0"/>
  </w:style>
  <w:style w:type="character" w:customStyle="1" w:styleId="24">
    <w:name w:val="WW8Num7z7"/>
    <w:qFormat/>
    <w:uiPriority w:val="0"/>
  </w:style>
  <w:style w:type="character" w:customStyle="1" w:styleId="25">
    <w:name w:val="WW8Num7z8"/>
    <w:qFormat/>
    <w:uiPriority w:val="0"/>
  </w:style>
  <w:style w:type="character" w:customStyle="1" w:styleId="26">
    <w:name w:val="Интернет-ссылка"/>
    <w:basedOn w:val="2"/>
    <w:qFormat/>
    <w:uiPriority w:val="0"/>
    <w:rPr>
      <w:color w:val="0563C1"/>
      <w:u w:val="single"/>
    </w:rPr>
  </w:style>
  <w:style w:type="character" w:customStyle="1" w:styleId="27">
    <w:name w:val="Текст выноски Знак"/>
    <w:basedOn w:val="2"/>
    <w:qFormat/>
    <w:uiPriority w:val="0"/>
    <w:rPr>
      <w:rFonts w:ascii="Segoe UI" w:hAnsi="Segoe UI" w:cs="Segoe UI"/>
      <w:sz w:val="18"/>
      <w:szCs w:val="18"/>
    </w:rPr>
  </w:style>
  <w:style w:type="character" w:customStyle="1" w:styleId="28">
    <w:name w:val="WW8Num4z1"/>
    <w:qFormat/>
    <w:uiPriority w:val="0"/>
    <w:rPr>
      <w:rFonts w:ascii="Courier New" w:hAnsi="Courier New" w:cs="Courier New"/>
    </w:rPr>
  </w:style>
  <w:style w:type="character" w:customStyle="1" w:styleId="29">
    <w:name w:val="WW8Num4z2"/>
    <w:qFormat/>
    <w:uiPriority w:val="0"/>
    <w:rPr>
      <w:rFonts w:ascii="Wingdings" w:hAnsi="Wingdings" w:cs="Wingdings"/>
    </w:rPr>
  </w:style>
  <w:style w:type="character" w:customStyle="1" w:styleId="30">
    <w:name w:val="WW8Num1z1"/>
    <w:qFormat/>
    <w:uiPriority w:val="0"/>
    <w:rPr>
      <w:rFonts w:ascii="Courier New" w:hAnsi="Courier New" w:cs="Courier New"/>
    </w:rPr>
  </w:style>
  <w:style w:type="character" w:customStyle="1" w:styleId="31">
    <w:name w:val="WW8Num1z2"/>
    <w:qFormat/>
    <w:uiPriority w:val="0"/>
    <w:rPr>
      <w:rFonts w:ascii="Wingdings" w:hAnsi="Wingdings" w:cs="Wingdings"/>
    </w:rPr>
  </w:style>
  <w:style w:type="character" w:customStyle="1" w:styleId="32">
    <w:name w:val="WW8Num5z1"/>
    <w:qFormat/>
    <w:uiPriority w:val="0"/>
    <w:rPr>
      <w:rFonts w:ascii="Courier New" w:hAnsi="Courier New" w:cs="Courier New"/>
    </w:rPr>
  </w:style>
  <w:style w:type="character" w:customStyle="1" w:styleId="33">
    <w:name w:val="WW8Num5z2"/>
    <w:qFormat/>
    <w:uiPriority w:val="0"/>
    <w:rPr>
      <w:rFonts w:ascii="Wingdings" w:hAnsi="Wingdings" w:cs="Wingdings"/>
    </w:rPr>
  </w:style>
  <w:style w:type="character" w:customStyle="1" w:styleId="34">
    <w:name w:val="WW8Num6z1"/>
    <w:qFormat/>
    <w:uiPriority w:val="0"/>
    <w:rPr>
      <w:rFonts w:ascii="Courier New" w:hAnsi="Courier New" w:cs="Courier New"/>
    </w:rPr>
  </w:style>
  <w:style w:type="character" w:customStyle="1" w:styleId="35">
    <w:name w:val="WW8Num6z2"/>
    <w:qFormat/>
    <w:uiPriority w:val="0"/>
    <w:rPr>
      <w:rFonts w:ascii="Wingdings" w:hAnsi="Wingdings" w:cs="Wingdings"/>
    </w:rPr>
  </w:style>
  <w:style w:type="character" w:customStyle="1" w:styleId="36">
    <w:name w:val="WW8Num3z1"/>
    <w:qFormat/>
    <w:uiPriority w:val="0"/>
    <w:rPr>
      <w:rFonts w:ascii="Courier New" w:hAnsi="Courier New" w:cs="Courier New"/>
    </w:rPr>
  </w:style>
  <w:style w:type="character" w:customStyle="1" w:styleId="37">
    <w:name w:val="WW8Num3z2"/>
    <w:qFormat/>
    <w:uiPriority w:val="0"/>
    <w:rPr>
      <w:rFonts w:ascii="Wingdings" w:hAnsi="Wingdings" w:cs="Wingdings"/>
    </w:rPr>
  </w:style>
  <w:style w:type="character" w:customStyle="1" w:styleId="38">
    <w:name w:val="WW8Num2z1"/>
    <w:qFormat/>
    <w:uiPriority w:val="0"/>
  </w:style>
  <w:style w:type="character" w:customStyle="1" w:styleId="39">
    <w:name w:val="WW8Num2z2"/>
    <w:qFormat/>
    <w:uiPriority w:val="0"/>
  </w:style>
  <w:style w:type="character" w:customStyle="1" w:styleId="40">
    <w:name w:val="WW8Num2z3"/>
    <w:qFormat/>
    <w:uiPriority w:val="0"/>
  </w:style>
  <w:style w:type="character" w:customStyle="1" w:styleId="41">
    <w:name w:val="WW8Num2z4"/>
    <w:qFormat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qFormat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qFormat/>
    <w:uiPriority w:val="0"/>
  </w:style>
  <w:style w:type="paragraph" w:customStyle="1" w:styleId="46">
    <w:name w:val="Заголовок1"/>
    <w:basedOn w:val="1"/>
    <w:next w:val="8"/>
    <w:qFormat/>
    <w:uiPriority w:val="0"/>
    <w:pPr>
      <w:keepNext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customStyle="1" w:styleId="47">
    <w:name w:val="Указатель1"/>
    <w:basedOn w:val="1"/>
    <w:qFormat/>
    <w:uiPriority w:val="0"/>
    <w:pPr>
      <w:suppressLineNumbers/>
    </w:pPr>
    <w:rPr>
      <w:rFonts w:cs="Noto Sans Devanagari"/>
    </w:rPr>
  </w:style>
  <w:style w:type="paragraph" w:customStyle="1" w:styleId="48">
    <w:name w:val="Содержимое таблицы"/>
    <w:basedOn w:val="1"/>
    <w:qFormat/>
    <w:uiPriority w:val="0"/>
    <w:pPr>
      <w:suppressLineNumbers/>
    </w:pPr>
  </w:style>
  <w:style w:type="paragraph" w:customStyle="1" w:styleId="49">
    <w:name w:val="Заголовок таблицы"/>
    <w:basedOn w:val="48"/>
    <w:qFormat/>
    <w:uiPriority w:val="0"/>
    <w:pPr>
      <w:jc w:val="center"/>
    </w:pPr>
    <w:rPr>
      <w:b/>
      <w:bCs/>
    </w:rPr>
  </w:style>
  <w:style w:type="paragraph" w:customStyle="1" w:styleId="50">
    <w:name w:val="Обычный (веб)1"/>
    <w:basedOn w:val="1"/>
    <w:qFormat/>
    <w:uiPriority w:val="0"/>
    <w:pPr>
      <w:suppressAutoHyphens w:val="0"/>
      <w:spacing w:before="280" w:after="280"/>
    </w:pPr>
    <w:rPr>
      <w:rFonts w:ascii="Times New Roman" w:hAnsi="Times New Roman"/>
      <w:sz w:val="24"/>
      <w:szCs w:val="24"/>
    </w:rPr>
  </w:style>
  <w:style w:type="paragraph" w:styleId="5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8</Pages>
  <Words>2236</Words>
  <Characters>12751</Characters>
  <Lines>106</Lines>
  <Paragraphs>29</Paragraphs>
  <TotalTime>41</TotalTime>
  <ScaleCrop>false</ScaleCrop>
  <LinksUpToDate>false</LinksUpToDate>
  <CharactersWithSpaces>14958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2023-01-15T08:04:00Z</dcterms:created>
  <dc:creator>Кирюхина Анна Валерьевна</dc:creator>
  <cp:lastModifiedBy>hamitovami</cp:lastModifiedBy>
  <cp:lastPrinted>2023-01-13T13:07:00Z</cp:lastPrinted>
  <dcterms:modified xsi:type="dcterms:W3CDTF">2023-02-27T17:11:42Z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1049-11.1.0.10920</vt:lpwstr>
  </property>
</Properties>
</file>